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lang w:eastAsia="en-GB"/>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1C3E5CB5" w:rsidR="001B1515" w:rsidRDefault="00D4610B" w:rsidP="00DB6D88">
            <w:pPr>
              <w:pStyle w:val="Heading1"/>
              <w:outlineLvl w:val="0"/>
            </w:pPr>
            <w:r>
              <w:t>Health and Adult Social Care Scrutiny Sub-Committee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2487CCFC" w:rsidR="001B1515" w:rsidRDefault="001D4051" w:rsidP="00DB6D88">
            <w:pPr>
              <w:pStyle w:val="Infotext"/>
              <w:rPr>
                <w:rFonts w:cs="Arial"/>
              </w:rPr>
            </w:pPr>
            <w:r>
              <w:rPr>
                <w:rFonts w:cs="Arial"/>
              </w:rPr>
              <w:t>22</w:t>
            </w:r>
            <w:r w:rsidRPr="001D4051">
              <w:rPr>
                <w:rFonts w:cs="Arial"/>
                <w:vertAlign w:val="superscript"/>
              </w:rPr>
              <w:t>nd</w:t>
            </w:r>
            <w:r>
              <w:rPr>
                <w:rFonts w:cs="Arial"/>
              </w:rPr>
              <w:t xml:space="preserve"> February 2022</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3EDDEAD4" w:rsidR="001B1515" w:rsidRDefault="001D4051" w:rsidP="00DB6D88">
            <w:pPr>
              <w:pStyle w:val="Infotext"/>
              <w:rPr>
                <w:rFonts w:cs="Arial"/>
              </w:rPr>
            </w:pPr>
            <w:r w:rsidRPr="001D4051">
              <w:rPr>
                <w:rFonts w:cs="Arial"/>
              </w:rPr>
              <w:t>Maternity Services at Northwick Park Hospital</w:t>
            </w:r>
          </w:p>
        </w:tc>
      </w:tr>
      <w:tr w:rsidR="001B1515" w:rsidRPr="00B92FE6" w14:paraId="524EACC3" w14:textId="77777777" w:rsidTr="00AC28DC">
        <w:tc>
          <w:tcPr>
            <w:tcW w:w="3384" w:type="dxa"/>
          </w:tcPr>
          <w:p w14:paraId="5731415F" w14:textId="77777777" w:rsidR="001B1515" w:rsidRPr="00B92FE6" w:rsidRDefault="001B1515" w:rsidP="00DB6D88">
            <w:pPr>
              <w:pStyle w:val="Infotext"/>
              <w:rPr>
                <w:rFonts w:ascii="Arial Black" w:hAnsi="Arial Black" w:cs="Arial"/>
              </w:rPr>
            </w:pPr>
            <w:r w:rsidRPr="00B92FE6">
              <w:rPr>
                <w:rFonts w:ascii="Arial Black" w:hAnsi="Arial Black" w:cs="Arial"/>
              </w:rPr>
              <w:t>Responsible Officer:</w:t>
            </w:r>
          </w:p>
          <w:p w14:paraId="17A5B381" w14:textId="77777777" w:rsidR="001B1515" w:rsidRPr="00B92FE6" w:rsidRDefault="001B1515" w:rsidP="00DB6D88">
            <w:pPr>
              <w:pStyle w:val="Infotext"/>
              <w:rPr>
                <w:rFonts w:ascii="Arial Black" w:hAnsi="Arial Black" w:cs="Arial"/>
              </w:rPr>
            </w:pPr>
          </w:p>
        </w:tc>
        <w:tc>
          <w:tcPr>
            <w:tcW w:w="5076" w:type="dxa"/>
          </w:tcPr>
          <w:p w14:paraId="76CDC3A3" w14:textId="0D656DB8" w:rsidR="00D4610B" w:rsidRPr="00D4610B" w:rsidRDefault="00D4610B" w:rsidP="00D4610B">
            <w:pPr>
              <w:rPr>
                <w:sz w:val="28"/>
                <w:szCs w:val="28"/>
                <w:lang w:eastAsia="en-GB"/>
              </w:rPr>
            </w:pPr>
            <w:r>
              <w:rPr>
                <w:sz w:val="28"/>
                <w:szCs w:val="28"/>
                <w:lang w:eastAsia="en-GB"/>
              </w:rPr>
              <w:t xml:space="preserve">Simon Crawford, </w:t>
            </w:r>
            <w:r w:rsidRPr="00D4610B">
              <w:rPr>
                <w:sz w:val="28"/>
                <w:szCs w:val="28"/>
                <w:lang w:eastAsia="en-GB"/>
              </w:rPr>
              <w:t>Deputy Chief Executive</w:t>
            </w:r>
          </w:p>
          <w:p w14:paraId="2B0AA452" w14:textId="4ED7447E" w:rsidR="001B1515" w:rsidRPr="00B92FE6" w:rsidRDefault="00D4610B" w:rsidP="00D4610B">
            <w:pPr>
              <w:pStyle w:val="Infotext"/>
              <w:rPr>
                <w:rFonts w:cs="Arial"/>
              </w:rPr>
            </w:pPr>
            <w:r w:rsidRPr="00D4610B">
              <w:rPr>
                <w:szCs w:val="28"/>
                <w:lang w:eastAsia="en-GB"/>
              </w:rPr>
              <w:t>London North West University Healthcare NHS Trust</w:t>
            </w:r>
          </w:p>
        </w:tc>
      </w:tr>
      <w:tr w:rsidR="00B764AC" w:rsidRPr="00B92FE6" w14:paraId="1A0003A3" w14:textId="77777777" w:rsidTr="00AC28DC">
        <w:tc>
          <w:tcPr>
            <w:tcW w:w="3384" w:type="dxa"/>
          </w:tcPr>
          <w:p w14:paraId="2F469FEA" w14:textId="77777777" w:rsidR="00B764AC" w:rsidRPr="00B92FE6" w:rsidRDefault="00B764AC" w:rsidP="00DB6D88">
            <w:pPr>
              <w:pStyle w:val="Infotext"/>
              <w:rPr>
                <w:rFonts w:ascii="Arial Black" w:hAnsi="Arial Black" w:cs="Arial"/>
              </w:rPr>
            </w:pPr>
            <w:r w:rsidRPr="00B92FE6">
              <w:rPr>
                <w:rFonts w:ascii="Arial Black" w:hAnsi="Arial Black" w:cs="Arial"/>
              </w:rPr>
              <w:t>Scrutiny Lead Member area:</w:t>
            </w:r>
          </w:p>
          <w:p w14:paraId="43719D23" w14:textId="77777777" w:rsidR="00B764AC" w:rsidRPr="00B92FE6" w:rsidRDefault="00B764AC" w:rsidP="00DB6D88">
            <w:pPr>
              <w:pStyle w:val="Infotext"/>
              <w:rPr>
                <w:rFonts w:ascii="Arial Black" w:hAnsi="Arial Black" w:cs="Arial"/>
              </w:rPr>
            </w:pPr>
          </w:p>
        </w:tc>
        <w:tc>
          <w:tcPr>
            <w:tcW w:w="5076" w:type="dxa"/>
          </w:tcPr>
          <w:p w14:paraId="4ADA2811" w14:textId="77777777" w:rsidR="00B764AC" w:rsidRDefault="00B764AC" w:rsidP="00DB6D88">
            <w:pPr>
              <w:pStyle w:val="Infotext"/>
              <w:rPr>
                <w:rFonts w:cs="Arial"/>
              </w:rPr>
            </w:pPr>
          </w:p>
          <w:p w14:paraId="78A62C57" w14:textId="450DA58F" w:rsidR="0090555B" w:rsidRPr="00B92FE6" w:rsidRDefault="0090555B" w:rsidP="00DB6D88">
            <w:pPr>
              <w:pStyle w:val="Infotext"/>
              <w:rPr>
                <w:rFonts w:cs="Arial"/>
              </w:rPr>
            </w:pPr>
            <w:r>
              <w:t>Health: Councillor Michael Borio</w:t>
            </w:r>
          </w:p>
        </w:tc>
      </w:tr>
      <w:tr w:rsidR="00B764AC" w:rsidRPr="00B92FE6" w14:paraId="52898ACB" w14:textId="77777777" w:rsidTr="00AC28DC">
        <w:tc>
          <w:tcPr>
            <w:tcW w:w="3384" w:type="dxa"/>
          </w:tcPr>
          <w:p w14:paraId="0D984BC6" w14:textId="77777777" w:rsidR="00B764AC" w:rsidRPr="00B92FE6" w:rsidRDefault="00B764AC" w:rsidP="00DB6D88">
            <w:pPr>
              <w:pStyle w:val="Infotext"/>
              <w:rPr>
                <w:rFonts w:ascii="Arial Black" w:hAnsi="Arial Black" w:cs="Arial"/>
              </w:rPr>
            </w:pPr>
            <w:r w:rsidRPr="00B92FE6">
              <w:rPr>
                <w:rFonts w:ascii="Arial Black" w:hAnsi="Arial Black" w:cs="Arial"/>
              </w:rPr>
              <w:t>Exempt:</w:t>
            </w:r>
          </w:p>
          <w:p w14:paraId="269FB051" w14:textId="77777777" w:rsidR="00B764AC" w:rsidRPr="00B92FE6" w:rsidRDefault="00B764AC" w:rsidP="00DB6D88">
            <w:pPr>
              <w:pStyle w:val="Infotext"/>
              <w:rPr>
                <w:rFonts w:ascii="Arial Black" w:hAnsi="Arial Black" w:cs="Arial"/>
              </w:rPr>
            </w:pPr>
          </w:p>
        </w:tc>
        <w:tc>
          <w:tcPr>
            <w:tcW w:w="5076" w:type="dxa"/>
          </w:tcPr>
          <w:p w14:paraId="573BCE8B" w14:textId="231C901A" w:rsidR="00B764AC" w:rsidRPr="00B92FE6" w:rsidRDefault="00B764AC" w:rsidP="00DB6D88">
            <w:pPr>
              <w:pStyle w:val="Infotext"/>
              <w:rPr>
                <w:rFonts w:cs="Arial"/>
              </w:rPr>
            </w:pPr>
            <w:r w:rsidRPr="00B92FE6">
              <w:rPr>
                <w:rFonts w:cs="Arial"/>
              </w:rPr>
              <w:t>No</w:t>
            </w:r>
          </w:p>
          <w:p w14:paraId="4F037418" w14:textId="77777777" w:rsidR="00B764AC" w:rsidRPr="00B92FE6" w:rsidRDefault="00B764AC" w:rsidP="00D4610B">
            <w:pPr>
              <w:pStyle w:val="Infotext"/>
              <w:rPr>
                <w:rFonts w:cs="Arial"/>
              </w:rPr>
            </w:pPr>
          </w:p>
        </w:tc>
      </w:tr>
      <w:tr w:rsidR="00B764AC" w:rsidRPr="00B92FE6" w14:paraId="10801F4C" w14:textId="77777777" w:rsidTr="00AC28DC">
        <w:tc>
          <w:tcPr>
            <w:tcW w:w="3384" w:type="dxa"/>
          </w:tcPr>
          <w:p w14:paraId="019E71EE" w14:textId="77777777" w:rsidR="00B764AC" w:rsidRPr="00B92FE6" w:rsidRDefault="00B764AC" w:rsidP="00DB6D88">
            <w:pPr>
              <w:pStyle w:val="Infotext"/>
              <w:rPr>
                <w:rFonts w:ascii="Arial Black" w:hAnsi="Arial Black" w:cs="Arial"/>
              </w:rPr>
            </w:pPr>
            <w:r w:rsidRPr="00B92FE6">
              <w:rPr>
                <w:rFonts w:ascii="Arial Black" w:hAnsi="Arial Black" w:cs="Arial"/>
              </w:rPr>
              <w:t>Wards affected:</w:t>
            </w:r>
          </w:p>
          <w:p w14:paraId="36856551" w14:textId="77777777" w:rsidR="00B764AC" w:rsidRPr="00B92FE6" w:rsidRDefault="00B764AC" w:rsidP="00DB6D88">
            <w:pPr>
              <w:pStyle w:val="Infotext"/>
              <w:rPr>
                <w:rFonts w:ascii="Arial Black" w:hAnsi="Arial Black" w:cs="Arial"/>
              </w:rPr>
            </w:pPr>
          </w:p>
        </w:tc>
        <w:tc>
          <w:tcPr>
            <w:tcW w:w="5076" w:type="dxa"/>
          </w:tcPr>
          <w:p w14:paraId="4EF7B8FA" w14:textId="1AEF8036" w:rsidR="00B764AC" w:rsidRPr="00B92FE6" w:rsidRDefault="00D4610B" w:rsidP="00DB6D88">
            <w:pPr>
              <w:pStyle w:val="Infotext"/>
            </w:pPr>
            <w:r>
              <w:rPr>
                <w:rFonts w:cs="Arial"/>
                <w:szCs w:val="24"/>
              </w:rPr>
              <w:t>All Wards</w:t>
            </w:r>
          </w:p>
        </w:tc>
      </w:tr>
      <w:tr w:rsidR="00B764AC" w14:paraId="2E68568C" w14:textId="77777777" w:rsidTr="00AC28DC">
        <w:tc>
          <w:tcPr>
            <w:tcW w:w="3384" w:type="dxa"/>
          </w:tcPr>
          <w:p w14:paraId="1E3D5D3C" w14:textId="77777777" w:rsidR="00B764AC" w:rsidRPr="00B92FE6" w:rsidRDefault="00B764AC" w:rsidP="00DB6D88">
            <w:pPr>
              <w:pStyle w:val="Infotext"/>
              <w:rPr>
                <w:rFonts w:ascii="Arial Black" w:hAnsi="Arial Black" w:cs="Arial"/>
              </w:rPr>
            </w:pPr>
            <w:r w:rsidRPr="00B92FE6">
              <w:rPr>
                <w:rFonts w:ascii="Arial Black" w:hAnsi="Arial Black" w:cs="Arial"/>
              </w:rPr>
              <w:t>Enclosures:</w:t>
            </w:r>
          </w:p>
          <w:p w14:paraId="332E8A3C" w14:textId="77777777" w:rsidR="00B764AC" w:rsidRPr="00B92FE6" w:rsidRDefault="00B764AC" w:rsidP="00DB6D88">
            <w:pPr>
              <w:pStyle w:val="Infotext"/>
              <w:rPr>
                <w:rFonts w:ascii="Arial Black" w:hAnsi="Arial Black" w:cs="Arial"/>
              </w:rPr>
            </w:pPr>
          </w:p>
        </w:tc>
        <w:tc>
          <w:tcPr>
            <w:tcW w:w="5076" w:type="dxa"/>
          </w:tcPr>
          <w:p w14:paraId="5E52462E" w14:textId="77777777" w:rsidR="00B764AC" w:rsidRDefault="00D4610B" w:rsidP="00DB6D88">
            <w:pPr>
              <w:pStyle w:val="Infotext"/>
            </w:pPr>
            <w:r>
              <w:t>Appendix 1 - Maternity Update Presentation</w:t>
            </w:r>
          </w:p>
          <w:p w14:paraId="1B79E58F" w14:textId="2E0D184E" w:rsidR="00300DFC" w:rsidRPr="00B92FE6" w:rsidRDefault="00300DFC" w:rsidP="00300DFC">
            <w:pPr>
              <w:pStyle w:val="Infotext"/>
            </w:pPr>
            <w:r>
              <w:t xml:space="preserve">Appendix 2 - </w:t>
            </w:r>
            <w:r>
              <w:t>CQC maternity services inspection</w:t>
            </w:r>
            <w:r>
              <w:t xml:space="preserve"> </w:t>
            </w:r>
            <w:r>
              <w:t>25-26 October 2021</w:t>
            </w:r>
          </w:p>
        </w:tc>
      </w:tr>
    </w:tbl>
    <w:p w14:paraId="73CD0A27" w14:textId="77777777" w:rsidR="001B1515" w:rsidRDefault="001B1515" w:rsidP="001B1515">
      <w:pPr>
        <w:spacing w:after="480"/>
      </w:pPr>
    </w:p>
    <w:p w14:paraId="68C76EBC" w14:textId="77777777" w:rsidR="00F909D0" w:rsidRDefault="00F909D0">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1B1515" w14:paraId="7FD83AE1" w14:textId="77777777" w:rsidTr="00DB6D88">
        <w:trPr>
          <w:tblHeader/>
        </w:trPr>
        <w:tc>
          <w:tcPr>
            <w:tcW w:w="8525" w:type="dxa"/>
            <w:tcBorders>
              <w:top w:val="nil"/>
              <w:left w:val="nil"/>
              <w:bottom w:val="single" w:sz="4" w:space="0" w:color="auto"/>
              <w:right w:val="nil"/>
            </w:tcBorders>
          </w:tcPr>
          <w:p w14:paraId="1C0B7D72" w14:textId="4BDC9831" w:rsidR="001B1515" w:rsidRDefault="001B1515" w:rsidP="00DB6D88">
            <w:pPr>
              <w:pStyle w:val="Heading2"/>
              <w:spacing w:before="240" w:after="240"/>
            </w:pPr>
            <w:r>
              <w:lastRenderedPageBreak/>
              <w:t>Section 1 – Summary and Recommendations</w:t>
            </w:r>
          </w:p>
        </w:tc>
      </w:tr>
      <w:tr w:rsidR="001B1515" w14:paraId="2AE8E8CA" w14:textId="77777777" w:rsidTr="00DB6D88">
        <w:trPr>
          <w:tblHeader/>
        </w:trPr>
        <w:tc>
          <w:tcPr>
            <w:tcW w:w="8525" w:type="dxa"/>
            <w:tcBorders>
              <w:left w:val="nil"/>
              <w:bottom w:val="nil"/>
              <w:right w:val="nil"/>
            </w:tcBorders>
          </w:tcPr>
          <w:p w14:paraId="2557B9FC" w14:textId="4E824031" w:rsidR="001B1515" w:rsidRPr="001D4051" w:rsidRDefault="001B1515" w:rsidP="00DB6D88">
            <w:pPr>
              <w:rPr>
                <w:color w:val="000000" w:themeColor="text1"/>
              </w:rPr>
            </w:pPr>
            <w:r w:rsidRPr="001D4051">
              <w:rPr>
                <w:color w:val="000000" w:themeColor="text1"/>
              </w:rPr>
              <w:t>This report sets out</w:t>
            </w:r>
            <w:r w:rsidR="001D4051" w:rsidRPr="001D4051">
              <w:rPr>
                <w:color w:val="000000" w:themeColor="text1"/>
              </w:rPr>
              <w:t xml:space="preserve"> the progress made in delivering the CQC Improvement Plan for Maternity Services at Northwick Park Hospital following the inspection in April 2021</w:t>
            </w:r>
          </w:p>
          <w:p w14:paraId="3186AFEC" w14:textId="77777777" w:rsidR="001B1515" w:rsidRDefault="001B1515" w:rsidP="00DB6D88">
            <w:pPr>
              <w:rPr>
                <w:rFonts w:ascii="Arial Bold" w:hAnsi="Arial Bold"/>
                <w:b/>
                <w:sz w:val="28"/>
              </w:rPr>
            </w:pPr>
          </w:p>
          <w:p w14:paraId="1717AD21" w14:textId="77777777" w:rsidR="001B1515" w:rsidRPr="00A160B2" w:rsidRDefault="001B1515" w:rsidP="00DB6D88">
            <w:pPr>
              <w:rPr>
                <w:rFonts w:ascii="Arial Bold" w:hAnsi="Arial Bold"/>
                <w:b/>
                <w:sz w:val="28"/>
              </w:rPr>
            </w:pPr>
            <w:r w:rsidRPr="00A160B2">
              <w:rPr>
                <w:rFonts w:ascii="Arial Bold" w:hAnsi="Arial Bold"/>
                <w:b/>
                <w:sz w:val="28"/>
              </w:rPr>
              <w:t xml:space="preserve">Recommendations: </w:t>
            </w:r>
          </w:p>
          <w:p w14:paraId="40A59243" w14:textId="77497D6D" w:rsidR="001B1515" w:rsidRDefault="001D4051" w:rsidP="00933CED">
            <w:r w:rsidRPr="001D4051">
              <w:t xml:space="preserve">To note the progress with delivering the CQC Improvement Plan and to </w:t>
            </w:r>
            <w:r w:rsidR="00933CED">
              <w:t>r</w:t>
            </w:r>
            <w:r w:rsidRPr="001D4051">
              <w:t>eceive and discuss the CQC follow up Inspection Report issued on 24th December 2021.</w:t>
            </w:r>
          </w:p>
        </w:tc>
      </w:tr>
    </w:tbl>
    <w:p w14:paraId="44374CB3" w14:textId="77777777" w:rsidR="001B1515" w:rsidRPr="004A659A" w:rsidRDefault="001B1515" w:rsidP="004A659A">
      <w:pPr>
        <w:pStyle w:val="Heading2"/>
      </w:pPr>
      <w:r w:rsidRPr="004A659A">
        <w:t>Section 2 – Report</w:t>
      </w:r>
    </w:p>
    <w:p w14:paraId="1886352A" w14:textId="77777777" w:rsidR="001B1515" w:rsidRDefault="001B1515" w:rsidP="001B1515">
      <w:pPr>
        <w:rPr>
          <w:b/>
          <w:bCs/>
          <w:color w:val="0000FF"/>
          <w:sz w:val="28"/>
        </w:rPr>
      </w:pPr>
      <w:r>
        <w:rPr>
          <w:sz w:val="28"/>
        </w:rPr>
        <w:t xml:space="preserve">(NB: </w:t>
      </w:r>
      <w:r w:rsidRPr="00B9118E">
        <w:rPr>
          <w:sz w:val="28"/>
          <w:u w:val="single"/>
        </w:rPr>
        <w:t>Black sections are mandatory</w:t>
      </w:r>
      <w:r>
        <w:rPr>
          <w:sz w:val="28"/>
        </w:rPr>
        <w:t>,</w:t>
      </w:r>
      <w:r>
        <w:t xml:space="preserve"> </w:t>
      </w:r>
      <w:r>
        <w:rPr>
          <w:color w:val="0000FF"/>
          <w:sz w:val="28"/>
        </w:rPr>
        <w:t>blue sections are advisory)</w:t>
      </w:r>
    </w:p>
    <w:p w14:paraId="6FB24055" w14:textId="77777777" w:rsidR="005441BD" w:rsidRPr="000F2599" w:rsidRDefault="005441BD" w:rsidP="004A659A">
      <w:pPr>
        <w:pStyle w:val="Heading3"/>
      </w:pPr>
      <w:r w:rsidRPr="000F2599">
        <w:t>Introductory paragraph</w:t>
      </w:r>
    </w:p>
    <w:p w14:paraId="6C2AD3C3" w14:textId="77777777" w:rsidR="001D4051" w:rsidRPr="002B626D" w:rsidRDefault="001D4051" w:rsidP="001D4051">
      <w:pPr>
        <w:jc w:val="both"/>
        <w:rPr>
          <w:rFonts w:cs="Arial"/>
          <w:szCs w:val="24"/>
        </w:rPr>
      </w:pPr>
      <w:r>
        <w:rPr>
          <w:rFonts w:cs="Arial"/>
          <w:szCs w:val="24"/>
        </w:rPr>
        <w:t>The LNWHT Trust Board at its January 2022 Public meeting received a progress report on delivery of the original CQC inspection report Improvement Plan developed following the inspection in April 2021 which was reported and discussed at this Committee in August 2021. The link to the latest version of this Improvement Plan is detailed in the attached report. In addition, t</w:t>
      </w:r>
      <w:r w:rsidRPr="002B626D">
        <w:rPr>
          <w:rFonts w:cs="Arial"/>
          <w:szCs w:val="24"/>
        </w:rPr>
        <w:t xml:space="preserve">he CQC undertook </w:t>
      </w:r>
      <w:r>
        <w:rPr>
          <w:rFonts w:cs="Arial"/>
          <w:szCs w:val="24"/>
        </w:rPr>
        <w:t>a follow up</w:t>
      </w:r>
      <w:r w:rsidRPr="002B626D">
        <w:rPr>
          <w:rFonts w:cs="Arial"/>
          <w:szCs w:val="24"/>
        </w:rPr>
        <w:t xml:space="preserve"> unannounced focussed inspection of the Maternity Services in October 2021. The report was published on 24</w:t>
      </w:r>
      <w:r w:rsidRPr="002B626D">
        <w:rPr>
          <w:rFonts w:cs="Arial"/>
          <w:szCs w:val="24"/>
          <w:vertAlign w:val="superscript"/>
        </w:rPr>
        <w:t>th</w:t>
      </w:r>
      <w:r w:rsidRPr="002B626D">
        <w:rPr>
          <w:rFonts w:cs="Arial"/>
          <w:szCs w:val="24"/>
        </w:rPr>
        <w:t xml:space="preserve"> December 2021 with an improved rating for the Maternity Services, from ‘inadequate’ to ‘requires improvement’.  The CQC did not identify any ‘must do’ actions. Some ‘should do’ actions were identified.</w:t>
      </w:r>
    </w:p>
    <w:p w14:paraId="420AD541" w14:textId="77777777" w:rsidR="001D4051" w:rsidRPr="002B626D" w:rsidRDefault="001D4051" w:rsidP="001D4051">
      <w:pPr>
        <w:rPr>
          <w:rFonts w:cs="Arial"/>
          <w:sz w:val="16"/>
          <w:szCs w:val="16"/>
        </w:rPr>
      </w:pPr>
    </w:p>
    <w:tbl>
      <w:tblPr>
        <w:tblW w:w="9502" w:type="dxa"/>
        <w:tblLayout w:type="fixed"/>
        <w:tblCellMar>
          <w:left w:w="0" w:type="dxa"/>
          <w:right w:w="0" w:type="dxa"/>
        </w:tblCellMar>
        <w:tblLook w:val="04A0" w:firstRow="1" w:lastRow="0" w:firstColumn="1" w:lastColumn="0" w:noHBand="0" w:noVBand="1"/>
      </w:tblPr>
      <w:tblGrid>
        <w:gridCol w:w="1668"/>
        <w:gridCol w:w="2693"/>
        <w:gridCol w:w="2677"/>
        <w:gridCol w:w="2464"/>
      </w:tblGrid>
      <w:tr w:rsidR="001D4051" w:rsidRPr="002B626D" w14:paraId="5D8AA807" w14:textId="77777777" w:rsidTr="001D4051">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3EA5E"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Rating</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2E421" w14:textId="77777777" w:rsidR="001D4051" w:rsidRPr="001D4051" w:rsidRDefault="001D4051" w:rsidP="001D4051">
            <w:pPr>
              <w:spacing w:before="120" w:line="300" w:lineRule="auto"/>
              <w:jc w:val="center"/>
              <w:rPr>
                <w:rFonts w:eastAsia="Calibri" w:cs="Arial"/>
                <w:b/>
                <w:bCs/>
                <w:color w:val="231F20"/>
                <w:sz w:val="22"/>
              </w:rPr>
            </w:pPr>
            <w:r w:rsidRPr="001D4051">
              <w:rPr>
                <w:rFonts w:eastAsia="Calibri" w:cs="Arial"/>
                <w:b/>
                <w:bCs/>
                <w:color w:val="231F20"/>
                <w:sz w:val="22"/>
              </w:rPr>
              <w:t>August 2019</w:t>
            </w:r>
          </w:p>
        </w:tc>
        <w:tc>
          <w:tcPr>
            <w:tcW w:w="2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68081" w14:textId="77777777" w:rsidR="001D4051" w:rsidRPr="001D4051" w:rsidRDefault="001D4051" w:rsidP="001D4051">
            <w:pPr>
              <w:spacing w:before="120" w:line="300" w:lineRule="auto"/>
              <w:jc w:val="center"/>
              <w:rPr>
                <w:rFonts w:eastAsia="Calibri" w:cs="Arial"/>
                <w:b/>
                <w:bCs/>
                <w:color w:val="231F20"/>
                <w:sz w:val="22"/>
              </w:rPr>
            </w:pPr>
            <w:r w:rsidRPr="001D4051">
              <w:rPr>
                <w:rFonts w:eastAsia="Calibri" w:cs="Arial"/>
                <w:b/>
                <w:bCs/>
                <w:color w:val="231F20"/>
                <w:sz w:val="22"/>
              </w:rPr>
              <w:t>April 2021</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CCFBF" w14:textId="5E750BA4" w:rsidR="001D4051" w:rsidRPr="001D4051" w:rsidRDefault="001D4051" w:rsidP="001D4051">
            <w:pPr>
              <w:spacing w:before="120" w:line="300" w:lineRule="auto"/>
              <w:jc w:val="center"/>
              <w:rPr>
                <w:rFonts w:eastAsia="Calibri" w:cs="Arial"/>
                <w:b/>
                <w:bCs/>
                <w:color w:val="231F20"/>
                <w:sz w:val="22"/>
              </w:rPr>
            </w:pPr>
            <w:r w:rsidRPr="001D4051">
              <w:rPr>
                <w:rFonts w:eastAsia="Calibri" w:cs="Arial"/>
                <w:b/>
                <w:bCs/>
                <w:color w:val="231F20"/>
                <w:sz w:val="22"/>
              </w:rPr>
              <w:t>October 2021</w:t>
            </w:r>
          </w:p>
        </w:tc>
      </w:tr>
      <w:tr w:rsidR="001D4051" w:rsidRPr="002B626D" w14:paraId="40455C04" w14:textId="77777777" w:rsidTr="001D4051">
        <w:tc>
          <w:tcPr>
            <w:tcW w:w="16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B5D05FC"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Overall</w:t>
            </w:r>
          </w:p>
        </w:tc>
        <w:tc>
          <w:tcPr>
            <w:tcW w:w="2693"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2ABB6E8A"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Requires Improvement</w:t>
            </w:r>
          </w:p>
        </w:tc>
        <w:tc>
          <w:tcPr>
            <w:tcW w:w="267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38C5D60"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Inadequate</w:t>
            </w:r>
          </w:p>
        </w:tc>
        <w:tc>
          <w:tcPr>
            <w:tcW w:w="2464"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6AE72362"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Requires Improvement</w:t>
            </w:r>
          </w:p>
        </w:tc>
      </w:tr>
      <w:tr w:rsidR="001D4051" w:rsidRPr="002B626D" w14:paraId="503A9E8E" w14:textId="77777777" w:rsidTr="001D4051">
        <w:trPr>
          <w:trHeight w:val="14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7D135" w14:textId="77777777" w:rsidR="001D4051" w:rsidRPr="001D4051" w:rsidRDefault="001D4051" w:rsidP="00E219C2">
            <w:pPr>
              <w:spacing w:before="120" w:line="140" w:lineRule="atLeast"/>
              <w:rPr>
                <w:rFonts w:eastAsia="Calibri" w:cs="Arial"/>
                <w:b/>
                <w:bCs/>
                <w:color w:val="231F20"/>
                <w:sz w:val="22"/>
              </w:rPr>
            </w:pPr>
            <w:r w:rsidRPr="001D4051">
              <w:rPr>
                <w:rFonts w:eastAsia="Calibri" w:cs="Arial"/>
                <w:b/>
                <w:bCs/>
                <w:color w:val="231F20"/>
                <w:sz w:val="22"/>
              </w:rPr>
              <w:t>Safe</w:t>
            </w:r>
          </w:p>
        </w:tc>
        <w:tc>
          <w:tcPr>
            <w:tcW w:w="2693"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3B51AA3B" w14:textId="77777777" w:rsidR="001D4051" w:rsidRPr="001D4051" w:rsidRDefault="001D4051" w:rsidP="001D4051">
            <w:pPr>
              <w:spacing w:before="120" w:line="140" w:lineRule="atLeast"/>
              <w:jc w:val="center"/>
              <w:rPr>
                <w:rFonts w:eastAsia="Calibri" w:cs="Arial"/>
                <w:color w:val="231F20"/>
                <w:sz w:val="22"/>
              </w:rPr>
            </w:pPr>
            <w:r w:rsidRPr="001D4051">
              <w:rPr>
                <w:rFonts w:eastAsia="Calibri" w:cs="Arial"/>
                <w:color w:val="231F20"/>
                <w:sz w:val="22"/>
              </w:rPr>
              <w:t>Requires Improvement</w:t>
            </w:r>
          </w:p>
        </w:tc>
        <w:tc>
          <w:tcPr>
            <w:tcW w:w="267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6FC7A51" w14:textId="77777777" w:rsidR="001D4051" w:rsidRPr="001D4051" w:rsidRDefault="001D4051" w:rsidP="001D4051">
            <w:pPr>
              <w:spacing w:before="120" w:line="140" w:lineRule="atLeast"/>
              <w:jc w:val="center"/>
              <w:rPr>
                <w:rFonts w:eastAsia="Calibri" w:cs="Arial"/>
                <w:color w:val="231F20"/>
                <w:sz w:val="22"/>
              </w:rPr>
            </w:pPr>
            <w:r w:rsidRPr="001D4051">
              <w:rPr>
                <w:rFonts w:eastAsia="Calibri" w:cs="Arial"/>
                <w:color w:val="231F20"/>
                <w:sz w:val="22"/>
              </w:rPr>
              <w:t>Inadequate</w:t>
            </w:r>
          </w:p>
        </w:tc>
        <w:tc>
          <w:tcPr>
            <w:tcW w:w="2464"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5EED49F1" w14:textId="77777777" w:rsidR="001D4051" w:rsidRPr="001D4051" w:rsidRDefault="001D4051" w:rsidP="001D4051">
            <w:pPr>
              <w:spacing w:before="120" w:line="140" w:lineRule="atLeast"/>
              <w:jc w:val="center"/>
              <w:rPr>
                <w:rFonts w:eastAsia="Calibri" w:cs="Arial"/>
                <w:color w:val="231F20"/>
                <w:sz w:val="22"/>
              </w:rPr>
            </w:pPr>
            <w:r w:rsidRPr="001D4051">
              <w:rPr>
                <w:rFonts w:eastAsia="Calibri" w:cs="Arial"/>
                <w:color w:val="231F20"/>
                <w:sz w:val="22"/>
              </w:rPr>
              <w:t>Requires Improv</w:t>
            </w:r>
            <w:r w:rsidRPr="001D4051">
              <w:rPr>
                <w:rFonts w:eastAsia="Calibri" w:cs="Arial"/>
                <w:color w:val="231F20"/>
                <w:sz w:val="22"/>
                <w:shd w:val="clear" w:color="auto" w:fill="F79646"/>
              </w:rPr>
              <w:t>e</w:t>
            </w:r>
            <w:r w:rsidRPr="001D4051">
              <w:rPr>
                <w:rFonts w:eastAsia="Calibri" w:cs="Arial"/>
                <w:color w:val="231F20"/>
                <w:sz w:val="22"/>
              </w:rPr>
              <w:t>ment</w:t>
            </w:r>
          </w:p>
        </w:tc>
      </w:tr>
      <w:tr w:rsidR="001D4051" w:rsidRPr="002B626D" w14:paraId="6B4024CF" w14:textId="77777777" w:rsidTr="001D405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19F06"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Effective</w:t>
            </w:r>
          </w:p>
        </w:tc>
        <w:tc>
          <w:tcPr>
            <w:tcW w:w="2693"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319EA988"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c>
          <w:tcPr>
            <w:tcW w:w="26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EDAA617"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Not rated</w:t>
            </w:r>
          </w:p>
        </w:tc>
        <w:tc>
          <w:tcPr>
            <w:tcW w:w="2464"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15229879"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r>
      <w:tr w:rsidR="001D4051" w:rsidRPr="002B626D" w14:paraId="4537D3B9" w14:textId="77777777" w:rsidTr="001D405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104A6"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Caring</w:t>
            </w:r>
          </w:p>
        </w:tc>
        <w:tc>
          <w:tcPr>
            <w:tcW w:w="2693"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6BAC1A10"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c>
          <w:tcPr>
            <w:tcW w:w="2677"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4470B5C6"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c>
          <w:tcPr>
            <w:tcW w:w="2464"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32FA3E61"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r>
      <w:tr w:rsidR="001D4051" w:rsidRPr="002B626D" w14:paraId="670BD00E" w14:textId="77777777" w:rsidTr="001D405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23ACD"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Responsive</w:t>
            </w:r>
          </w:p>
        </w:tc>
        <w:tc>
          <w:tcPr>
            <w:tcW w:w="2693" w:type="dxa"/>
            <w:tcBorders>
              <w:top w:val="nil"/>
              <w:left w:val="nil"/>
              <w:bottom w:val="single" w:sz="8" w:space="0" w:color="auto"/>
              <w:right w:val="single" w:sz="8" w:space="0" w:color="auto"/>
            </w:tcBorders>
            <w:shd w:val="clear" w:color="auto" w:fill="9BBB59"/>
            <w:tcMar>
              <w:top w:w="0" w:type="dxa"/>
              <w:left w:w="108" w:type="dxa"/>
              <w:bottom w:w="0" w:type="dxa"/>
              <w:right w:w="108" w:type="dxa"/>
            </w:tcMar>
            <w:hideMark/>
          </w:tcPr>
          <w:p w14:paraId="7B566EBC"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Good</w:t>
            </w:r>
          </w:p>
        </w:tc>
        <w:tc>
          <w:tcPr>
            <w:tcW w:w="26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DE31F34"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Not rated</w:t>
            </w:r>
          </w:p>
        </w:tc>
        <w:tc>
          <w:tcPr>
            <w:tcW w:w="2464"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4D30DFF0"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Requires Improvement</w:t>
            </w:r>
          </w:p>
        </w:tc>
      </w:tr>
      <w:tr w:rsidR="001D4051" w:rsidRPr="002B626D" w14:paraId="599D6963" w14:textId="77777777" w:rsidTr="001D4051">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98912" w14:textId="77777777" w:rsidR="001D4051" w:rsidRPr="001D4051" w:rsidRDefault="001D4051" w:rsidP="00E219C2">
            <w:pPr>
              <w:spacing w:before="120" w:line="300" w:lineRule="auto"/>
              <w:rPr>
                <w:rFonts w:eastAsia="Calibri" w:cs="Arial"/>
                <w:b/>
                <w:bCs/>
                <w:color w:val="231F20"/>
                <w:sz w:val="22"/>
              </w:rPr>
            </w:pPr>
            <w:r w:rsidRPr="001D4051">
              <w:rPr>
                <w:rFonts w:eastAsia="Calibri" w:cs="Arial"/>
                <w:b/>
                <w:bCs/>
                <w:color w:val="231F20"/>
                <w:sz w:val="22"/>
              </w:rPr>
              <w:t>Well led</w:t>
            </w:r>
          </w:p>
        </w:tc>
        <w:tc>
          <w:tcPr>
            <w:tcW w:w="2693"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794C4529"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Requires Improvement</w:t>
            </w:r>
          </w:p>
        </w:tc>
        <w:tc>
          <w:tcPr>
            <w:tcW w:w="267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E063CFD"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Inadequate</w:t>
            </w:r>
          </w:p>
        </w:tc>
        <w:tc>
          <w:tcPr>
            <w:tcW w:w="2464"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14:paraId="505EA2EE" w14:textId="77777777" w:rsidR="001D4051" w:rsidRPr="001D4051" w:rsidRDefault="001D4051" w:rsidP="001D4051">
            <w:pPr>
              <w:spacing w:before="120" w:line="300" w:lineRule="auto"/>
              <w:jc w:val="center"/>
              <w:rPr>
                <w:rFonts w:eastAsia="Calibri" w:cs="Arial"/>
                <w:color w:val="231F20"/>
                <w:sz w:val="22"/>
              </w:rPr>
            </w:pPr>
            <w:r w:rsidRPr="001D4051">
              <w:rPr>
                <w:rFonts w:eastAsia="Calibri" w:cs="Arial"/>
                <w:color w:val="231F20"/>
                <w:sz w:val="22"/>
              </w:rPr>
              <w:t>Requires Improvement</w:t>
            </w:r>
          </w:p>
        </w:tc>
      </w:tr>
    </w:tbl>
    <w:p w14:paraId="06E0EE82" w14:textId="77777777" w:rsidR="001D4051" w:rsidRPr="002B626D" w:rsidRDefault="001D4051" w:rsidP="001D4051">
      <w:pPr>
        <w:rPr>
          <w:rFonts w:cs="Arial"/>
          <w:b/>
          <w:sz w:val="16"/>
          <w:szCs w:val="16"/>
        </w:rPr>
      </w:pPr>
    </w:p>
    <w:p w14:paraId="77245DAC" w14:textId="77777777" w:rsidR="001D4051" w:rsidRDefault="001D4051" w:rsidP="001D4051">
      <w:pPr>
        <w:jc w:val="both"/>
        <w:rPr>
          <w:rFonts w:cs="Arial"/>
          <w:szCs w:val="24"/>
        </w:rPr>
      </w:pPr>
      <w:r w:rsidRPr="002B626D">
        <w:rPr>
          <w:rFonts w:cs="Arial"/>
          <w:szCs w:val="24"/>
        </w:rPr>
        <w:t>The report identified 16 ‘should do’ a</w:t>
      </w:r>
      <w:r>
        <w:rPr>
          <w:rFonts w:cs="Arial"/>
          <w:szCs w:val="24"/>
        </w:rPr>
        <w:t>ctions which were already being</w:t>
      </w:r>
    </w:p>
    <w:p w14:paraId="7E2AA825" w14:textId="0080E891" w:rsidR="001D4051" w:rsidRPr="002B626D" w:rsidRDefault="001D4051" w:rsidP="001D4051">
      <w:pPr>
        <w:jc w:val="both"/>
        <w:rPr>
          <w:rFonts w:cs="Arial"/>
          <w:szCs w:val="24"/>
        </w:rPr>
      </w:pPr>
      <w:r>
        <w:rPr>
          <w:rFonts w:cs="Arial"/>
          <w:szCs w:val="24"/>
        </w:rPr>
        <w:t>a</w:t>
      </w:r>
      <w:r w:rsidRPr="002B626D">
        <w:rPr>
          <w:rFonts w:cs="Arial"/>
          <w:szCs w:val="24"/>
        </w:rPr>
        <w:t xml:space="preserve">ddressed by the Maternity Services through the Maternity Improvement Plan.  The progress of completing these actions will </w:t>
      </w:r>
      <w:r>
        <w:rPr>
          <w:rFonts w:cs="Arial"/>
          <w:szCs w:val="24"/>
        </w:rPr>
        <w:t xml:space="preserve">continue to </w:t>
      </w:r>
      <w:r w:rsidRPr="002B626D">
        <w:rPr>
          <w:rFonts w:cs="Arial"/>
          <w:szCs w:val="24"/>
        </w:rPr>
        <w:t>be monitored through the Maternity Improvement Group (MIG) and the Divisional Clinical Governance Group (Section 2 of the report).</w:t>
      </w:r>
    </w:p>
    <w:p w14:paraId="4581991D" w14:textId="77777777" w:rsidR="001D4051" w:rsidRPr="002B626D" w:rsidRDefault="001D4051" w:rsidP="001D4051">
      <w:pPr>
        <w:rPr>
          <w:rFonts w:cs="Arial"/>
          <w:b/>
          <w:sz w:val="16"/>
          <w:szCs w:val="16"/>
        </w:rPr>
      </w:pPr>
    </w:p>
    <w:tbl>
      <w:tblPr>
        <w:tblStyle w:val="TableGrid1"/>
        <w:tblW w:w="0" w:type="auto"/>
        <w:tblLayout w:type="fixed"/>
        <w:tblLook w:val="04A0" w:firstRow="1" w:lastRow="0" w:firstColumn="1" w:lastColumn="0" w:noHBand="0" w:noVBand="1"/>
      </w:tblPr>
      <w:tblGrid>
        <w:gridCol w:w="2636"/>
        <w:gridCol w:w="2442"/>
        <w:gridCol w:w="2442"/>
        <w:gridCol w:w="2442"/>
      </w:tblGrid>
      <w:tr w:rsidR="001D4051" w:rsidRPr="002B626D" w14:paraId="430DE4EE" w14:textId="77777777" w:rsidTr="00E219C2">
        <w:tc>
          <w:tcPr>
            <w:tcW w:w="2636" w:type="dxa"/>
            <w:tcBorders>
              <w:top w:val="single" w:sz="4" w:space="0" w:color="auto"/>
              <w:left w:val="single" w:sz="4" w:space="0" w:color="auto"/>
              <w:bottom w:val="single" w:sz="4" w:space="0" w:color="auto"/>
              <w:right w:val="single" w:sz="4" w:space="0" w:color="auto"/>
            </w:tcBorders>
            <w:hideMark/>
          </w:tcPr>
          <w:p w14:paraId="17DBC92D" w14:textId="77777777" w:rsidR="001D4051" w:rsidRPr="002B626D" w:rsidRDefault="001D4051" w:rsidP="001D4051">
            <w:pPr>
              <w:jc w:val="center"/>
              <w:rPr>
                <w:rFonts w:cs="Arial"/>
                <w:b/>
                <w:color w:val="auto"/>
              </w:rPr>
            </w:pPr>
            <w:r w:rsidRPr="002B626D">
              <w:rPr>
                <w:rFonts w:cs="Arial"/>
                <w:b/>
                <w:color w:val="auto"/>
              </w:rPr>
              <w:t>Should do actions</w:t>
            </w:r>
          </w:p>
        </w:tc>
        <w:tc>
          <w:tcPr>
            <w:tcW w:w="2442" w:type="dxa"/>
            <w:tcBorders>
              <w:top w:val="single" w:sz="4" w:space="0" w:color="auto"/>
              <w:left w:val="single" w:sz="4" w:space="0" w:color="auto"/>
              <w:bottom w:val="single" w:sz="4" w:space="0" w:color="auto"/>
              <w:right w:val="single" w:sz="4" w:space="0" w:color="auto"/>
            </w:tcBorders>
            <w:shd w:val="clear" w:color="auto" w:fill="92D050"/>
            <w:hideMark/>
          </w:tcPr>
          <w:p w14:paraId="65C17C71" w14:textId="77777777" w:rsidR="001D4051" w:rsidRPr="002B626D" w:rsidRDefault="001D4051" w:rsidP="001D4051">
            <w:pPr>
              <w:jc w:val="center"/>
              <w:rPr>
                <w:rFonts w:cs="Arial"/>
                <w:b/>
                <w:color w:val="auto"/>
              </w:rPr>
            </w:pPr>
            <w:r w:rsidRPr="002B626D">
              <w:rPr>
                <w:rFonts w:cs="Arial"/>
                <w:b/>
                <w:color w:val="auto"/>
              </w:rPr>
              <w:t>Complete</w:t>
            </w:r>
          </w:p>
        </w:tc>
        <w:tc>
          <w:tcPr>
            <w:tcW w:w="2442" w:type="dxa"/>
            <w:tcBorders>
              <w:top w:val="single" w:sz="4" w:space="0" w:color="auto"/>
              <w:left w:val="single" w:sz="4" w:space="0" w:color="auto"/>
              <w:bottom w:val="single" w:sz="4" w:space="0" w:color="auto"/>
              <w:right w:val="single" w:sz="4" w:space="0" w:color="auto"/>
            </w:tcBorders>
            <w:shd w:val="clear" w:color="auto" w:fill="FFC000"/>
            <w:hideMark/>
          </w:tcPr>
          <w:p w14:paraId="4ACFE4A0" w14:textId="77777777" w:rsidR="001D4051" w:rsidRPr="002B626D" w:rsidRDefault="001D4051" w:rsidP="001D4051">
            <w:pPr>
              <w:jc w:val="center"/>
              <w:rPr>
                <w:rFonts w:cs="Arial"/>
                <w:b/>
                <w:color w:val="auto"/>
              </w:rPr>
            </w:pPr>
            <w:r w:rsidRPr="002B626D">
              <w:rPr>
                <w:rFonts w:cs="Arial"/>
                <w:b/>
                <w:color w:val="auto"/>
              </w:rPr>
              <w:t>In progress</w:t>
            </w:r>
          </w:p>
        </w:tc>
        <w:tc>
          <w:tcPr>
            <w:tcW w:w="2442" w:type="dxa"/>
            <w:tcBorders>
              <w:top w:val="single" w:sz="4" w:space="0" w:color="auto"/>
              <w:left w:val="single" w:sz="4" w:space="0" w:color="auto"/>
              <w:bottom w:val="single" w:sz="4" w:space="0" w:color="auto"/>
              <w:right w:val="single" w:sz="4" w:space="0" w:color="auto"/>
            </w:tcBorders>
            <w:shd w:val="clear" w:color="auto" w:fill="FF0000"/>
            <w:hideMark/>
          </w:tcPr>
          <w:p w14:paraId="2482A558" w14:textId="77777777" w:rsidR="001D4051" w:rsidRPr="002B626D" w:rsidRDefault="001D4051" w:rsidP="001D4051">
            <w:pPr>
              <w:jc w:val="center"/>
              <w:rPr>
                <w:rFonts w:cs="Arial"/>
                <w:b/>
                <w:color w:val="auto"/>
              </w:rPr>
            </w:pPr>
            <w:r w:rsidRPr="002B626D">
              <w:rPr>
                <w:rFonts w:cs="Arial"/>
                <w:b/>
                <w:color w:val="auto"/>
              </w:rPr>
              <w:t>Overdue</w:t>
            </w:r>
          </w:p>
        </w:tc>
      </w:tr>
      <w:tr w:rsidR="001D4051" w:rsidRPr="002B626D" w14:paraId="288AD9F6" w14:textId="77777777" w:rsidTr="00E219C2">
        <w:tc>
          <w:tcPr>
            <w:tcW w:w="2636" w:type="dxa"/>
            <w:tcBorders>
              <w:top w:val="single" w:sz="4" w:space="0" w:color="auto"/>
              <w:left w:val="single" w:sz="4" w:space="0" w:color="auto"/>
              <w:bottom w:val="single" w:sz="4" w:space="0" w:color="auto"/>
              <w:right w:val="single" w:sz="4" w:space="0" w:color="auto"/>
            </w:tcBorders>
            <w:hideMark/>
          </w:tcPr>
          <w:p w14:paraId="07144EA3" w14:textId="77777777" w:rsidR="001D4051" w:rsidRPr="002B626D" w:rsidRDefault="001D4051" w:rsidP="001D4051">
            <w:pPr>
              <w:jc w:val="center"/>
              <w:rPr>
                <w:rFonts w:cs="Arial"/>
                <w:b/>
                <w:bCs/>
                <w:color w:val="auto"/>
              </w:rPr>
            </w:pPr>
            <w:r w:rsidRPr="002B626D">
              <w:rPr>
                <w:rFonts w:cs="Arial"/>
                <w:b/>
                <w:bCs/>
                <w:color w:val="auto"/>
              </w:rPr>
              <w:t>16</w:t>
            </w:r>
          </w:p>
        </w:tc>
        <w:tc>
          <w:tcPr>
            <w:tcW w:w="2442" w:type="dxa"/>
            <w:tcBorders>
              <w:top w:val="single" w:sz="4" w:space="0" w:color="auto"/>
              <w:left w:val="single" w:sz="4" w:space="0" w:color="auto"/>
              <w:bottom w:val="single" w:sz="4" w:space="0" w:color="auto"/>
              <w:right w:val="single" w:sz="4" w:space="0" w:color="auto"/>
            </w:tcBorders>
            <w:hideMark/>
          </w:tcPr>
          <w:p w14:paraId="31198454" w14:textId="77777777" w:rsidR="001D4051" w:rsidRPr="002B626D" w:rsidRDefault="001D4051" w:rsidP="001D4051">
            <w:pPr>
              <w:jc w:val="center"/>
              <w:rPr>
                <w:rFonts w:cs="Arial"/>
                <w:b/>
                <w:bCs/>
                <w:color w:val="auto"/>
              </w:rPr>
            </w:pPr>
            <w:r w:rsidRPr="002B626D">
              <w:rPr>
                <w:rFonts w:cs="Arial"/>
                <w:b/>
                <w:bCs/>
                <w:color w:val="auto"/>
              </w:rPr>
              <w:t>4</w:t>
            </w:r>
          </w:p>
        </w:tc>
        <w:tc>
          <w:tcPr>
            <w:tcW w:w="2442" w:type="dxa"/>
            <w:tcBorders>
              <w:top w:val="single" w:sz="4" w:space="0" w:color="auto"/>
              <w:left w:val="single" w:sz="4" w:space="0" w:color="auto"/>
              <w:bottom w:val="single" w:sz="4" w:space="0" w:color="auto"/>
              <w:right w:val="single" w:sz="4" w:space="0" w:color="auto"/>
            </w:tcBorders>
            <w:hideMark/>
          </w:tcPr>
          <w:p w14:paraId="3AF65E70" w14:textId="77777777" w:rsidR="001D4051" w:rsidRPr="002B626D" w:rsidRDefault="001D4051" w:rsidP="001D4051">
            <w:pPr>
              <w:jc w:val="center"/>
              <w:rPr>
                <w:rFonts w:cs="Arial"/>
                <w:b/>
                <w:bCs/>
                <w:color w:val="auto"/>
              </w:rPr>
            </w:pPr>
            <w:r w:rsidRPr="002B626D">
              <w:rPr>
                <w:rFonts w:cs="Arial"/>
                <w:b/>
                <w:bCs/>
                <w:color w:val="auto"/>
              </w:rPr>
              <w:t>12</w:t>
            </w:r>
          </w:p>
        </w:tc>
        <w:tc>
          <w:tcPr>
            <w:tcW w:w="2442" w:type="dxa"/>
            <w:tcBorders>
              <w:top w:val="single" w:sz="4" w:space="0" w:color="auto"/>
              <w:left w:val="single" w:sz="4" w:space="0" w:color="auto"/>
              <w:bottom w:val="single" w:sz="4" w:space="0" w:color="auto"/>
              <w:right w:val="single" w:sz="4" w:space="0" w:color="auto"/>
            </w:tcBorders>
            <w:hideMark/>
          </w:tcPr>
          <w:p w14:paraId="1891B2F3" w14:textId="77777777" w:rsidR="001D4051" w:rsidRPr="002B626D" w:rsidRDefault="001D4051" w:rsidP="001D4051">
            <w:pPr>
              <w:jc w:val="center"/>
              <w:rPr>
                <w:rFonts w:cs="Arial"/>
                <w:b/>
                <w:bCs/>
                <w:color w:val="auto"/>
              </w:rPr>
            </w:pPr>
            <w:r w:rsidRPr="002B626D">
              <w:rPr>
                <w:rFonts w:cs="Arial"/>
                <w:b/>
                <w:bCs/>
                <w:color w:val="auto"/>
              </w:rPr>
              <w:t>0</w:t>
            </w:r>
          </w:p>
        </w:tc>
      </w:tr>
    </w:tbl>
    <w:p w14:paraId="71D8895B" w14:textId="77777777" w:rsidR="001D4051" w:rsidRPr="002B626D" w:rsidRDefault="001D4051" w:rsidP="001D4051">
      <w:pPr>
        <w:rPr>
          <w:rFonts w:cs="Arial"/>
          <w:b/>
          <w:szCs w:val="24"/>
        </w:rPr>
      </w:pPr>
    </w:p>
    <w:p w14:paraId="1B1A63D8" w14:textId="77777777" w:rsidR="001D4051" w:rsidRPr="002B626D" w:rsidRDefault="001D4051" w:rsidP="001D4051">
      <w:pPr>
        <w:rPr>
          <w:rFonts w:cs="Arial"/>
          <w:szCs w:val="24"/>
        </w:rPr>
      </w:pPr>
      <w:r>
        <w:rPr>
          <w:rFonts w:cs="Arial"/>
          <w:szCs w:val="24"/>
        </w:rPr>
        <w:t xml:space="preserve">The </w:t>
      </w:r>
      <w:r w:rsidRPr="002B626D">
        <w:rPr>
          <w:rFonts w:cs="Arial"/>
          <w:szCs w:val="24"/>
        </w:rPr>
        <w:t>CQC’s full report is attached for information</w:t>
      </w:r>
      <w:r>
        <w:rPr>
          <w:rFonts w:cs="Arial"/>
          <w:szCs w:val="24"/>
        </w:rPr>
        <w:t xml:space="preserve"> along with a progress report on delivering the Maternity Improvement Plan.</w:t>
      </w:r>
    </w:p>
    <w:p w14:paraId="59EB87FB" w14:textId="76A56E5C" w:rsidR="00DA38BD" w:rsidRDefault="004E104D" w:rsidP="00622741">
      <w:pPr>
        <w:pStyle w:val="Heading3"/>
      </w:pPr>
      <w:r w:rsidRPr="000F2599">
        <w:lastRenderedPageBreak/>
        <w:t>Ward Councillors’ comments</w:t>
      </w:r>
    </w:p>
    <w:p w14:paraId="4387B8BB" w14:textId="2C436AFD" w:rsidR="0090555B" w:rsidRPr="0090555B" w:rsidRDefault="0090555B" w:rsidP="0090555B">
      <w:r w:rsidRPr="0090555B">
        <w:t>Not applicable as report relates to all wards.</w:t>
      </w:r>
    </w:p>
    <w:p w14:paraId="3BCC847F" w14:textId="77777777" w:rsidR="005441BD" w:rsidRPr="00622741" w:rsidRDefault="005441BD" w:rsidP="00622741">
      <w:pPr>
        <w:pStyle w:val="Heading2"/>
      </w:pPr>
      <w:r w:rsidRPr="00622741">
        <w:t>Financial Implications</w:t>
      </w:r>
    </w:p>
    <w:p w14:paraId="3003CD96" w14:textId="2B129AF7" w:rsidR="005441BD" w:rsidRDefault="001D4051" w:rsidP="00622741">
      <w:pPr>
        <w:spacing w:before="240"/>
      </w:pPr>
      <w:r>
        <w:t>None for Council</w:t>
      </w:r>
    </w:p>
    <w:p w14:paraId="3097FFDD" w14:textId="77777777" w:rsidR="005441BD" w:rsidRPr="000F2599" w:rsidRDefault="005441BD">
      <w:pPr>
        <w:pStyle w:val="Heading2"/>
      </w:pPr>
      <w:r w:rsidRPr="000F2599">
        <w:t>Performance Issues</w:t>
      </w:r>
    </w:p>
    <w:p w14:paraId="48A37C48" w14:textId="5103CF14" w:rsidR="1EE74784" w:rsidRDefault="1EE74784" w:rsidP="1EE74784"/>
    <w:p w14:paraId="7B665652" w14:textId="77777777" w:rsidR="001D4051" w:rsidRDefault="001D4051" w:rsidP="00480D23">
      <w:r w:rsidRPr="001D4051">
        <w:t>None for Council</w:t>
      </w:r>
    </w:p>
    <w:p w14:paraId="504509EA" w14:textId="0CCFEC8D" w:rsidR="00E446E9" w:rsidRDefault="00E446E9" w:rsidP="00B36547">
      <w:pPr>
        <w:pStyle w:val="Heading2"/>
        <w:keepNext/>
      </w:pPr>
      <w:r w:rsidRPr="000F2599">
        <w:t>Environmental Impact</w:t>
      </w:r>
    </w:p>
    <w:p w14:paraId="575C1AEE" w14:textId="77777777" w:rsidR="0090555B" w:rsidRDefault="0090555B" w:rsidP="0090555B"/>
    <w:p w14:paraId="1FB97C76" w14:textId="29E87EFB" w:rsidR="0090555B" w:rsidRDefault="0090555B" w:rsidP="0090555B">
      <w:r w:rsidRPr="001D4051">
        <w:t>None for Council</w:t>
      </w:r>
    </w:p>
    <w:p w14:paraId="1FB28C34" w14:textId="77777777" w:rsidR="0090555B" w:rsidRPr="0090555B" w:rsidRDefault="0090555B" w:rsidP="0090555B"/>
    <w:p w14:paraId="7527B3D7" w14:textId="77777777" w:rsidR="00915FD6" w:rsidRPr="000F2599" w:rsidRDefault="00915FD6" w:rsidP="00B36547">
      <w:pPr>
        <w:pStyle w:val="Heading2"/>
        <w:keepNext/>
      </w:pPr>
      <w:r w:rsidRPr="000F2599">
        <w:t>Risk Management Implications</w:t>
      </w:r>
    </w:p>
    <w:p w14:paraId="1CD9B26C" w14:textId="77777777" w:rsidR="007E08CE" w:rsidRDefault="007E08CE" w:rsidP="00AC28DC">
      <w:pPr>
        <w:rPr>
          <w:color w:val="0000FF"/>
        </w:rPr>
      </w:pPr>
    </w:p>
    <w:p w14:paraId="419173BA" w14:textId="77B4D3BB" w:rsidR="00AC28DC" w:rsidRDefault="00933CED" w:rsidP="00AC28DC">
      <w:pPr>
        <w:tabs>
          <w:tab w:val="left" w:pos="5610"/>
        </w:tabs>
        <w:ind w:left="567" w:right="81" w:hanging="567"/>
        <w:rPr>
          <w:rFonts w:cs="Arial"/>
          <w:szCs w:val="24"/>
          <w:lang w:val="en-US"/>
        </w:rPr>
      </w:pPr>
      <w:r w:rsidRPr="00933CED">
        <w:rPr>
          <w:rFonts w:cs="Arial"/>
          <w:szCs w:val="24"/>
          <w:lang w:val="en-US"/>
        </w:rPr>
        <w:t>None for Council</w:t>
      </w:r>
    </w:p>
    <w:p w14:paraId="6F2BB227" w14:textId="77777777" w:rsidR="00933CED" w:rsidRDefault="00933CED" w:rsidP="00AC28DC">
      <w:pPr>
        <w:tabs>
          <w:tab w:val="left" w:pos="5610"/>
        </w:tabs>
        <w:ind w:right="81"/>
        <w:rPr>
          <w:rFonts w:cs="Arial"/>
          <w:szCs w:val="24"/>
          <w:lang w:val="en-US"/>
        </w:rPr>
      </w:pPr>
    </w:p>
    <w:p w14:paraId="7A04D200" w14:textId="77777777" w:rsidR="00B776F3" w:rsidRPr="000F2599" w:rsidRDefault="00B776F3" w:rsidP="00B776F3">
      <w:pPr>
        <w:pStyle w:val="Heading2"/>
        <w:keepNext/>
      </w:pPr>
      <w:r w:rsidRPr="000F2599">
        <w:t>Equalities implications</w:t>
      </w:r>
      <w:r w:rsidR="00F63742" w:rsidRPr="000F2599">
        <w:t xml:space="preserve"> / Public Sector Equality Duty</w:t>
      </w:r>
    </w:p>
    <w:p w14:paraId="54789337" w14:textId="77777777" w:rsidR="00933CED" w:rsidRDefault="00933CED" w:rsidP="00622741">
      <w:pPr>
        <w:spacing w:before="240"/>
      </w:pPr>
      <w:r w:rsidRPr="00933CED">
        <w:t>To ensure maternity services provide equal access, care and quality of services to all the patients it serves.</w:t>
      </w:r>
    </w:p>
    <w:p w14:paraId="675642ED" w14:textId="689190E3" w:rsidR="3AB17FFD" w:rsidRDefault="3AB17FFD"/>
    <w:p w14:paraId="1B3EA1BC" w14:textId="77777777" w:rsidR="00AA1D1C" w:rsidRPr="000F2599" w:rsidRDefault="00777253" w:rsidP="00AA1D1C">
      <w:pPr>
        <w:pStyle w:val="Heading2"/>
      </w:pPr>
      <w:r w:rsidRPr="000F2599">
        <w:t xml:space="preserve">Council </w:t>
      </w:r>
      <w:r w:rsidR="00AA1D1C" w:rsidRPr="000F2599">
        <w:t>Priorities</w:t>
      </w:r>
    </w:p>
    <w:p w14:paraId="73200752" w14:textId="1A0021F0" w:rsidR="00933CED" w:rsidRDefault="00933CED">
      <w:pPr>
        <w:rPr>
          <w:rFonts w:ascii="Arial Black" w:hAnsi="Arial Black" w:cs="Arial"/>
          <w:b/>
          <w:bCs/>
          <w:sz w:val="36"/>
          <w:szCs w:val="32"/>
        </w:rPr>
      </w:pPr>
      <w:r>
        <w:t>N/A</w:t>
      </w:r>
      <w:r>
        <w:br w:type="page"/>
      </w:r>
    </w:p>
    <w:p w14:paraId="4694FF5A" w14:textId="337037F9" w:rsidR="005441BD" w:rsidRPr="000F2599" w:rsidRDefault="005441BD" w:rsidP="000417A4">
      <w:pPr>
        <w:pStyle w:val="Heading1"/>
        <w:keepNext/>
      </w:pPr>
      <w:r w:rsidRPr="000F2599">
        <w:lastRenderedPageBreak/>
        <w:t>Section 3 - Statutory Officer Clearance</w:t>
      </w:r>
    </w:p>
    <w:p w14:paraId="37ED470D" w14:textId="77777777" w:rsidR="0090555B" w:rsidRDefault="0090555B" w:rsidP="00622741">
      <w:pPr>
        <w:spacing w:before="240"/>
        <w:rPr>
          <w:b/>
          <w:sz w:val="28"/>
        </w:rPr>
      </w:pPr>
      <w:r>
        <w:t>Not required for this report.</w:t>
      </w:r>
      <w:r w:rsidRPr="00B92FE6">
        <w:rPr>
          <w:b/>
          <w:sz w:val="28"/>
        </w:rPr>
        <w:t xml:space="preserve"> </w:t>
      </w:r>
    </w:p>
    <w:p w14:paraId="32CCD21D" w14:textId="77777777" w:rsidR="0090555B" w:rsidRDefault="0090555B" w:rsidP="00622741">
      <w:pPr>
        <w:spacing w:before="240"/>
        <w:rPr>
          <w:b/>
          <w:sz w:val="28"/>
        </w:rPr>
      </w:pPr>
    </w:p>
    <w:p w14:paraId="451D34EE" w14:textId="77777777" w:rsidR="00622741" w:rsidRPr="00B92FE6" w:rsidRDefault="00622741" w:rsidP="00622741">
      <w:pPr>
        <w:pStyle w:val="Heading2"/>
        <w:spacing w:after="240"/>
      </w:pPr>
      <w:r w:rsidRPr="00B92FE6">
        <w:t>Mandatory Checks</w:t>
      </w:r>
    </w:p>
    <w:p w14:paraId="2D2008F2" w14:textId="77777777" w:rsidR="00D4610B" w:rsidRDefault="00622741" w:rsidP="00D4610B">
      <w:pPr>
        <w:pStyle w:val="Heading3"/>
      </w:pPr>
      <w:r w:rsidRPr="00B92FE6">
        <w:t xml:space="preserve">Ward Councillors notified:  NO, as it impacts on all Wards </w:t>
      </w:r>
    </w:p>
    <w:p w14:paraId="1BB2022E" w14:textId="2B13AEA7" w:rsidR="00622741" w:rsidRPr="00B92FE6" w:rsidRDefault="00622741" w:rsidP="00D4610B">
      <w:pPr>
        <w:pStyle w:val="Heading3"/>
      </w:pPr>
      <w:r w:rsidRPr="00B92FE6">
        <w:t>Section 4 - Contact Details and Background Papers</w:t>
      </w:r>
    </w:p>
    <w:p w14:paraId="2CA1B056" w14:textId="77777777" w:rsidR="0090555B" w:rsidRDefault="0090555B" w:rsidP="00D4610B">
      <w:pPr>
        <w:rPr>
          <w:b/>
        </w:rPr>
      </w:pPr>
    </w:p>
    <w:p w14:paraId="5484C7DB" w14:textId="0381FBB3" w:rsidR="00D4610B" w:rsidRDefault="00622741" w:rsidP="00D4610B">
      <w:r w:rsidRPr="00B92FE6">
        <w:rPr>
          <w:b/>
        </w:rPr>
        <w:t>Contact:</w:t>
      </w:r>
      <w:r w:rsidRPr="00B92FE6">
        <w:t xml:space="preserve">  </w:t>
      </w:r>
    </w:p>
    <w:p w14:paraId="1B8EAE46" w14:textId="1254A684" w:rsidR="00D4610B" w:rsidRPr="00D4610B" w:rsidRDefault="00D4610B" w:rsidP="00D4610B">
      <w:pPr>
        <w:rPr>
          <w:sz w:val="28"/>
          <w:szCs w:val="28"/>
          <w:lang w:eastAsia="en-GB"/>
        </w:rPr>
      </w:pPr>
      <w:r>
        <w:rPr>
          <w:sz w:val="28"/>
          <w:szCs w:val="28"/>
          <w:lang w:eastAsia="en-GB"/>
        </w:rPr>
        <w:t xml:space="preserve">Simon Crawford, </w:t>
      </w:r>
      <w:r w:rsidRPr="00D4610B">
        <w:rPr>
          <w:sz w:val="28"/>
          <w:szCs w:val="28"/>
          <w:lang w:eastAsia="en-GB"/>
        </w:rPr>
        <w:t>Deputy Chief Executive</w:t>
      </w:r>
    </w:p>
    <w:p w14:paraId="170A54D0" w14:textId="04F3F55A" w:rsidR="00622741" w:rsidRDefault="00D4610B" w:rsidP="00D4610B">
      <w:pPr>
        <w:pStyle w:val="Infotext"/>
        <w:rPr>
          <w:szCs w:val="28"/>
          <w:lang w:eastAsia="en-GB"/>
        </w:rPr>
      </w:pPr>
      <w:r w:rsidRPr="00D4610B">
        <w:rPr>
          <w:szCs w:val="28"/>
          <w:lang w:eastAsia="en-GB"/>
        </w:rPr>
        <w:t>London North West University Healthcare NHS Trust</w:t>
      </w:r>
    </w:p>
    <w:p w14:paraId="1E183A8A" w14:textId="11C0398E" w:rsidR="00D4610B" w:rsidRPr="00B92FE6" w:rsidRDefault="00300DFC" w:rsidP="00D4610B">
      <w:pPr>
        <w:pStyle w:val="Infotext"/>
      </w:pPr>
      <w:hyperlink r:id="rId11" w:history="1">
        <w:r w:rsidR="00D4610B">
          <w:rPr>
            <w:rStyle w:val="Hyperlink"/>
            <w:lang w:eastAsia="en-GB"/>
          </w:rPr>
          <w:t>simon.crawford1@nhs.net</w:t>
        </w:r>
      </w:hyperlink>
    </w:p>
    <w:p w14:paraId="19948771" w14:textId="77777777" w:rsidR="00D4610B" w:rsidRDefault="00D4610B" w:rsidP="00622741">
      <w:pPr>
        <w:pStyle w:val="Infotext"/>
        <w:tabs>
          <w:tab w:val="left" w:pos="656"/>
          <w:tab w:val="left" w:pos="6399"/>
        </w:tabs>
        <w:rPr>
          <w:b/>
        </w:rPr>
      </w:pPr>
    </w:p>
    <w:p w14:paraId="5CD040CD" w14:textId="339B71EF" w:rsidR="00937DB5" w:rsidRPr="00300DFC" w:rsidRDefault="00D4610B" w:rsidP="00622741">
      <w:pPr>
        <w:pStyle w:val="Infotext"/>
        <w:tabs>
          <w:tab w:val="left" w:pos="656"/>
          <w:tab w:val="left" w:pos="6399"/>
        </w:tabs>
        <w:rPr>
          <w:bCs/>
        </w:rPr>
      </w:pPr>
      <w:r w:rsidRPr="00300DFC">
        <w:rPr>
          <w:bCs/>
        </w:rPr>
        <w:t>Appendix 1 – Maternity Update</w:t>
      </w:r>
      <w:r w:rsidR="00622741" w:rsidRPr="00300DFC">
        <w:rPr>
          <w:bCs/>
        </w:rPr>
        <w:t xml:space="preserve"> </w:t>
      </w:r>
      <w:r w:rsidRPr="00300DFC">
        <w:rPr>
          <w:bCs/>
        </w:rPr>
        <w:t>Presentation</w:t>
      </w:r>
    </w:p>
    <w:p w14:paraId="6D6EBF74" w14:textId="4CB3B8FB" w:rsidR="00300DFC" w:rsidRDefault="00300DFC" w:rsidP="00622741">
      <w:pPr>
        <w:pStyle w:val="Infotext"/>
        <w:tabs>
          <w:tab w:val="left" w:pos="656"/>
          <w:tab w:val="left" w:pos="6399"/>
        </w:tabs>
        <w:rPr>
          <w:b/>
          <w:bCs/>
        </w:rPr>
      </w:pPr>
    </w:p>
    <w:p w14:paraId="25CC4822" w14:textId="28F7F6C0" w:rsidR="00300DFC" w:rsidRDefault="00300DFC" w:rsidP="00622741">
      <w:pPr>
        <w:pStyle w:val="Infotext"/>
        <w:tabs>
          <w:tab w:val="left" w:pos="656"/>
          <w:tab w:val="left" w:pos="6399"/>
        </w:tabs>
      </w:pPr>
      <w:r>
        <w:t>Appendix 2 - CQC maternity services inspection 25-26 October 2021</w:t>
      </w:r>
    </w:p>
    <w:sectPr w:rsidR="00300DFC"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EBAD" w14:textId="77777777" w:rsidR="00D16E14" w:rsidRDefault="00D16E14">
      <w:r>
        <w:separator/>
      </w:r>
    </w:p>
  </w:endnote>
  <w:endnote w:type="continuationSeparator" w:id="0">
    <w:p w14:paraId="7C26BFA2" w14:textId="77777777"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8DE6" w14:textId="77777777" w:rsidR="00D16E14" w:rsidRDefault="00D16E14">
      <w:r>
        <w:separator/>
      </w:r>
    </w:p>
  </w:footnote>
  <w:footnote w:type="continuationSeparator" w:id="0">
    <w:p w14:paraId="24B4271B" w14:textId="77777777" w:rsidR="00D16E14" w:rsidRDefault="00D1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6"/>
  </w:num>
  <w:num w:numId="10">
    <w:abstractNumId w:val="38"/>
  </w:num>
  <w:num w:numId="11">
    <w:abstractNumId w:val="2"/>
  </w:num>
  <w:num w:numId="12">
    <w:abstractNumId w:val="7"/>
  </w:num>
  <w:num w:numId="13">
    <w:abstractNumId w:val="19"/>
  </w:num>
  <w:num w:numId="14">
    <w:abstractNumId w:val="9"/>
  </w:num>
  <w:num w:numId="15">
    <w:abstractNumId w:val="34"/>
  </w:num>
  <w:num w:numId="16">
    <w:abstractNumId w:val="5"/>
  </w:num>
  <w:num w:numId="17">
    <w:abstractNumId w:val="24"/>
  </w:num>
  <w:num w:numId="18">
    <w:abstractNumId w:val="10"/>
  </w:num>
  <w:num w:numId="19">
    <w:abstractNumId w:val="16"/>
  </w:num>
  <w:num w:numId="20">
    <w:abstractNumId w:val="35"/>
  </w:num>
  <w:num w:numId="21">
    <w:abstractNumId w:val="33"/>
  </w:num>
  <w:num w:numId="22">
    <w:abstractNumId w:val="13"/>
  </w:num>
  <w:num w:numId="23">
    <w:abstractNumId w:val="39"/>
  </w:num>
  <w:num w:numId="24">
    <w:abstractNumId w:val="32"/>
  </w:num>
  <w:num w:numId="25">
    <w:abstractNumId w:val="15"/>
  </w:num>
  <w:num w:numId="26">
    <w:abstractNumId w:val="1"/>
  </w:num>
  <w:num w:numId="27">
    <w:abstractNumId w:val="21"/>
  </w:num>
  <w:num w:numId="28">
    <w:abstractNumId w:val="22"/>
  </w:num>
  <w:num w:numId="29">
    <w:abstractNumId w:val="37"/>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0"/>
  </w:num>
  <w:num w:numId="37">
    <w:abstractNumId w:val="28"/>
  </w:num>
  <w:num w:numId="38">
    <w:abstractNumId w:val="3"/>
  </w:num>
  <w:num w:numId="39">
    <w:abstractNumId w:val="12"/>
  </w:num>
  <w:num w:numId="40">
    <w:abstractNumId w:val="0"/>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FD6"/>
    <w:rsid w:val="000064A3"/>
    <w:rsid w:val="00036698"/>
    <w:rsid w:val="000417A4"/>
    <w:rsid w:val="00044EA3"/>
    <w:rsid w:val="00046328"/>
    <w:rsid w:val="00070B33"/>
    <w:rsid w:val="00075CBB"/>
    <w:rsid w:val="000A33E4"/>
    <w:rsid w:val="000B74AD"/>
    <w:rsid w:val="000D594C"/>
    <w:rsid w:val="000D59D7"/>
    <w:rsid w:val="000F2599"/>
    <w:rsid w:val="000F5FF4"/>
    <w:rsid w:val="000F665E"/>
    <w:rsid w:val="001071C4"/>
    <w:rsid w:val="001120D6"/>
    <w:rsid w:val="00131D9D"/>
    <w:rsid w:val="00141F91"/>
    <w:rsid w:val="00156C33"/>
    <w:rsid w:val="00157787"/>
    <w:rsid w:val="0016746B"/>
    <w:rsid w:val="00170541"/>
    <w:rsid w:val="001A6BFF"/>
    <w:rsid w:val="001B1515"/>
    <w:rsid w:val="001C1569"/>
    <w:rsid w:val="001C2940"/>
    <w:rsid w:val="001D4051"/>
    <w:rsid w:val="001E153E"/>
    <w:rsid w:val="001E282E"/>
    <w:rsid w:val="001E6E71"/>
    <w:rsid w:val="00205B6C"/>
    <w:rsid w:val="00234AB7"/>
    <w:rsid w:val="00262641"/>
    <w:rsid w:val="00267B48"/>
    <w:rsid w:val="00275FE6"/>
    <w:rsid w:val="00277B96"/>
    <w:rsid w:val="00295B66"/>
    <w:rsid w:val="002B7F80"/>
    <w:rsid w:val="002C6464"/>
    <w:rsid w:val="002D077C"/>
    <w:rsid w:val="002D35ED"/>
    <w:rsid w:val="002D45D5"/>
    <w:rsid w:val="002D616C"/>
    <w:rsid w:val="002E7B8B"/>
    <w:rsid w:val="00300DFC"/>
    <w:rsid w:val="00313F3C"/>
    <w:rsid w:val="00324A8E"/>
    <w:rsid w:val="003739BF"/>
    <w:rsid w:val="0037540E"/>
    <w:rsid w:val="003A2F0B"/>
    <w:rsid w:val="003D0D09"/>
    <w:rsid w:val="00431C38"/>
    <w:rsid w:val="00480D23"/>
    <w:rsid w:val="00482882"/>
    <w:rsid w:val="0049070E"/>
    <w:rsid w:val="004A659A"/>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559E"/>
    <w:rsid w:val="00646696"/>
    <w:rsid w:val="006B5F35"/>
    <w:rsid w:val="006D7C86"/>
    <w:rsid w:val="00713DA0"/>
    <w:rsid w:val="007217F4"/>
    <w:rsid w:val="007444BF"/>
    <w:rsid w:val="00777253"/>
    <w:rsid w:val="00780A65"/>
    <w:rsid w:val="00782301"/>
    <w:rsid w:val="007E08CE"/>
    <w:rsid w:val="00812664"/>
    <w:rsid w:val="00823899"/>
    <w:rsid w:val="008951A2"/>
    <w:rsid w:val="008C00C6"/>
    <w:rsid w:val="008F1A15"/>
    <w:rsid w:val="00900324"/>
    <w:rsid w:val="0090555B"/>
    <w:rsid w:val="00915FD6"/>
    <w:rsid w:val="00930C42"/>
    <w:rsid w:val="00933CED"/>
    <w:rsid w:val="009366AD"/>
    <w:rsid w:val="00937DB5"/>
    <w:rsid w:val="009653D9"/>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75672"/>
    <w:rsid w:val="00B764AC"/>
    <w:rsid w:val="00B776F3"/>
    <w:rsid w:val="00B83D00"/>
    <w:rsid w:val="00B92FE6"/>
    <w:rsid w:val="00B97261"/>
    <w:rsid w:val="00BD0B97"/>
    <w:rsid w:val="00BD6F2D"/>
    <w:rsid w:val="00C236B6"/>
    <w:rsid w:val="00C316E9"/>
    <w:rsid w:val="00C37118"/>
    <w:rsid w:val="00C647A2"/>
    <w:rsid w:val="00C817CB"/>
    <w:rsid w:val="00C928FC"/>
    <w:rsid w:val="00CA5A39"/>
    <w:rsid w:val="00CC1569"/>
    <w:rsid w:val="00CC306F"/>
    <w:rsid w:val="00D107B2"/>
    <w:rsid w:val="00D16E14"/>
    <w:rsid w:val="00D4068D"/>
    <w:rsid w:val="00D4610B"/>
    <w:rsid w:val="00D54442"/>
    <w:rsid w:val="00D86C2E"/>
    <w:rsid w:val="00DA38BD"/>
    <w:rsid w:val="00DB464E"/>
    <w:rsid w:val="00DE0604"/>
    <w:rsid w:val="00DE6CC7"/>
    <w:rsid w:val="00E0775D"/>
    <w:rsid w:val="00E1193A"/>
    <w:rsid w:val="00E446E9"/>
    <w:rsid w:val="00E55314"/>
    <w:rsid w:val="00E91983"/>
    <w:rsid w:val="00F037DB"/>
    <w:rsid w:val="00F1064F"/>
    <w:rsid w:val="00F12C0A"/>
    <w:rsid w:val="00F45ADF"/>
    <w:rsid w:val="00F63742"/>
    <w:rsid w:val="00F909D0"/>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B63B5C1"/>
  <w15:docId w15:val="{9014614B-CC31-4663-8F8A-B41DB2E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table" w:customStyle="1" w:styleId="TableGrid1">
    <w:name w:val="Table Grid1"/>
    <w:basedOn w:val="TableNormal"/>
    <w:next w:val="TableGrid"/>
    <w:uiPriority w:val="59"/>
    <w:rsid w:val="001D4051"/>
    <w:rPr>
      <w:rFonts w:ascii="Arial" w:eastAsiaTheme="minorHAnsi" w:hAnsi="Arial" w:cstheme="minorBidi"/>
      <w:color w:val="231F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1818">
      <w:bodyDiv w:val="1"/>
      <w:marLeft w:val="0"/>
      <w:marRight w:val="0"/>
      <w:marTop w:val="0"/>
      <w:marBottom w:val="0"/>
      <w:divBdr>
        <w:top w:val="none" w:sz="0" w:space="0" w:color="auto"/>
        <w:left w:val="none" w:sz="0" w:space="0" w:color="auto"/>
        <w:bottom w:val="none" w:sz="0" w:space="0" w:color="auto"/>
        <w:right w:val="none" w:sz="0" w:space="0" w:color="auto"/>
      </w:divBdr>
    </w:div>
    <w:div w:id="1683434099">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crawford1@nhs.ne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4471-F152-40FB-8AFF-B35B9BA76F86}">
  <ds:schemaRefs>
    <ds:schemaRef ds:uri="http://schemas.microsoft.com/office/infopath/2007/PartnerControls"/>
    <ds:schemaRef ds:uri="48fdd5af-7127-4349-9ef8-8ec3aedfe7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cp:lastModifiedBy>
  <cp:revision>4</cp:revision>
  <cp:lastPrinted>2009-12-01T14:09:00Z</cp:lastPrinted>
  <dcterms:created xsi:type="dcterms:W3CDTF">2022-02-10T11:18:00Z</dcterms:created>
  <dcterms:modified xsi:type="dcterms:W3CDTF">2022-02-14T16:02:00Z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